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95" w:rsidRPr="00955B95" w:rsidRDefault="00955B95" w:rsidP="00955B95">
      <w:pPr>
        <w:spacing w:after="225" w:line="288" w:lineRule="atLeast"/>
        <w:outlineLvl w:val="0"/>
        <w:rPr>
          <w:rFonts w:ascii="Arial" w:eastAsia="Times New Roman" w:hAnsi="Arial" w:cs="Arial"/>
          <w:kern w:val="36"/>
          <w:sz w:val="42"/>
          <w:szCs w:val="42"/>
          <w:lang w:eastAsia="ru-RU"/>
        </w:rPr>
      </w:pPr>
      <w:r w:rsidRPr="00955B95">
        <w:rPr>
          <w:rFonts w:ascii="Arial" w:eastAsia="Times New Roman" w:hAnsi="Arial" w:cs="Arial"/>
          <w:kern w:val="36"/>
          <w:sz w:val="42"/>
          <w:szCs w:val="42"/>
          <w:lang w:eastAsia="ru-RU"/>
        </w:rPr>
        <w:t>Правила подготовки к диагностическим исследованиям</w:t>
      </w:r>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t>Подготовка к ультразвуковым исследованиям</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Подготовка к УЗИ органов брюшной полости:</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Исследование проводится натощак: не пить и не есть. Последний приём пищи должен быть минимум за 6 часов до исследования.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Если Вам рекомендовано УЗИ органов брюшной полости с определением функции желчного пузыря при себе необходимо </w:t>
      </w:r>
      <w:proofErr w:type="gramStart"/>
      <w:r w:rsidRPr="00955B95">
        <w:rPr>
          <w:rFonts w:ascii="Helvetica" w:eastAsia="Times New Roman" w:hAnsi="Helvetica" w:cs="Helvetica"/>
          <w:color w:val="666666"/>
          <w:sz w:val="21"/>
          <w:szCs w:val="21"/>
          <w:lang w:eastAsia="ru-RU"/>
        </w:rPr>
        <w:t>иметь</w:t>
      </w:r>
      <w:proofErr w:type="gramEnd"/>
      <w:r w:rsidRPr="00955B95">
        <w:rPr>
          <w:rFonts w:ascii="Helvetica" w:eastAsia="Times New Roman" w:hAnsi="Helvetica" w:cs="Helvetica"/>
          <w:color w:val="666666"/>
          <w:sz w:val="21"/>
          <w:szCs w:val="21"/>
          <w:lang w:eastAsia="ru-RU"/>
        </w:rPr>
        <w:t>: детям 200 мл сока, взрослым  1 банан.</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Подготовка к УЗИ малого таза (</w:t>
      </w:r>
      <w:proofErr w:type="spellStart"/>
      <w:r w:rsidRPr="00955B95">
        <w:rPr>
          <w:rFonts w:ascii="Arial" w:eastAsia="Times New Roman" w:hAnsi="Arial" w:cs="Arial"/>
          <w:color w:val="666666"/>
          <w:sz w:val="29"/>
          <w:szCs w:val="29"/>
          <w:lang w:eastAsia="ru-RU"/>
        </w:rPr>
        <w:t>трансабдоминальное</w:t>
      </w:r>
      <w:proofErr w:type="spellEnd"/>
      <w:r w:rsidRPr="00955B95">
        <w:rPr>
          <w:rFonts w:ascii="Arial" w:eastAsia="Times New Roman" w:hAnsi="Arial" w:cs="Arial"/>
          <w:color w:val="666666"/>
          <w:sz w:val="29"/>
          <w:szCs w:val="29"/>
          <w:lang w:eastAsia="ru-RU"/>
        </w:rPr>
        <w:t>):</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Проводится при полном наполнении мочевого пузыря (за 1 час до исследования необходимо выпить 1 литр воды и не мочиться).</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Подготовка к УЗИ молочных желез:</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Сроки проведения исследования определяет лечащий врач.</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Если сроки врачом не оговорены, то исследование рекомендуется проводить с 5 по 7 день менструального цикла.</w:t>
      </w:r>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t>Подготовка к эндоскопическим исследованиям</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ФГДС</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За 2 дня из рациона исключить шоколад, семечки, орехи, острые блюда и алкоголь.</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Накануне легкоусвояемый ужин до 19.00 часов (исключить долго переваривающиеся продукты: мясо, черный хлеб, сырые фрукты и овощи).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Проводится натощак: в день исследования не принимается пища и вода, лекарственные средства в виде таблеток и капсул. Вопрос принимать или </w:t>
      </w:r>
      <w:proofErr w:type="gramStart"/>
      <w:r w:rsidRPr="00955B95">
        <w:rPr>
          <w:rFonts w:ascii="Helvetica" w:eastAsia="Times New Roman" w:hAnsi="Helvetica" w:cs="Helvetica"/>
          <w:color w:val="666666"/>
          <w:sz w:val="21"/>
          <w:szCs w:val="21"/>
          <w:lang w:eastAsia="ru-RU"/>
        </w:rPr>
        <w:t>нет постоянно принимаемые лекарства до ФГДС без нанесения вреда здоровью необходимо согласовать</w:t>
      </w:r>
      <w:proofErr w:type="gramEnd"/>
      <w:r w:rsidRPr="00955B95">
        <w:rPr>
          <w:rFonts w:ascii="Helvetica" w:eastAsia="Times New Roman" w:hAnsi="Helvetica" w:cs="Helvetica"/>
          <w:color w:val="666666"/>
          <w:sz w:val="21"/>
          <w:szCs w:val="21"/>
          <w:lang w:eastAsia="ru-RU"/>
        </w:rPr>
        <w:t xml:space="preserve"> со своим лечащим врачом.</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При проведении исследования позже 11.00 можно выпить несколько глотков воды за 3 часа до исследования.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 желательно курение в день исследования (усиливает секрецию слизи и рвотный рефлекс).</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Рекомендуется явка на исследование как минимум за 5 минут до назначенного времени (для снятия мышечного напряжения).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lastRenderedPageBreak/>
        <w:t>Разрешается чистить зубы, делать ультразвуковые исследования, принимать лекарства в виде спрея (</w:t>
      </w:r>
      <w:proofErr w:type="gramStart"/>
      <w:r w:rsidRPr="00955B95">
        <w:rPr>
          <w:rFonts w:ascii="Helvetica" w:eastAsia="Times New Roman" w:hAnsi="Helvetica" w:cs="Helvetica"/>
          <w:color w:val="666666"/>
          <w:sz w:val="21"/>
          <w:szCs w:val="21"/>
          <w:lang w:eastAsia="ru-RU"/>
        </w:rPr>
        <w:t>при</w:t>
      </w:r>
      <w:proofErr w:type="gramEnd"/>
      <w:r w:rsidRPr="00955B95">
        <w:rPr>
          <w:rFonts w:ascii="Helvetica" w:eastAsia="Times New Roman" w:hAnsi="Helvetica" w:cs="Helvetica"/>
          <w:color w:val="666666"/>
          <w:sz w:val="21"/>
          <w:szCs w:val="21"/>
          <w:lang w:eastAsia="ru-RU"/>
        </w:rPr>
        <w:t xml:space="preserve"> </w:t>
      </w:r>
      <w:proofErr w:type="gramStart"/>
      <w:r w:rsidRPr="00955B95">
        <w:rPr>
          <w:rFonts w:ascii="Helvetica" w:eastAsia="Times New Roman" w:hAnsi="Helvetica" w:cs="Helvetica"/>
          <w:color w:val="666666"/>
          <w:sz w:val="21"/>
          <w:szCs w:val="21"/>
          <w:lang w:eastAsia="ru-RU"/>
        </w:rPr>
        <w:t>ИБС</w:t>
      </w:r>
      <w:proofErr w:type="gramEnd"/>
      <w:r w:rsidRPr="00955B95">
        <w:rPr>
          <w:rFonts w:ascii="Helvetica" w:eastAsia="Times New Roman" w:hAnsi="Helvetica" w:cs="Helvetica"/>
          <w:color w:val="666666"/>
          <w:sz w:val="21"/>
          <w:szCs w:val="21"/>
          <w:lang w:eastAsia="ru-RU"/>
        </w:rPr>
        <w:t>, бронхиальной астме) и форм для рассасывания в полости рта, делать уколы, не требующие последующего приёма пищи.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Пациентам старше 50 лет иметь ЭКГ (данные не более недели).</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proofErr w:type="spellStart"/>
      <w:r w:rsidRPr="00955B95">
        <w:rPr>
          <w:rFonts w:ascii="Arial" w:eastAsia="Times New Roman" w:hAnsi="Arial" w:cs="Arial"/>
          <w:color w:val="666666"/>
          <w:sz w:val="29"/>
          <w:szCs w:val="29"/>
          <w:lang w:eastAsia="ru-RU"/>
        </w:rPr>
        <w:t>Колоноскопия</w:t>
      </w:r>
      <w:proofErr w:type="spellEnd"/>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Перед исследованием за 3-4 суток прекратить прием активированного угля и препаратов железа.</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Вариант 1. </w:t>
      </w:r>
      <w:proofErr w:type="spellStart"/>
      <w:r w:rsidRPr="00955B95">
        <w:rPr>
          <w:rFonts w:ascii="Helvetica" w:eastAsia="Times New Roman" w:hAnsi="Helvetica" w:cs="Helvetica"/>
          <w:color w:val="666666"/>
          <w:sz w:val="21"/>
          <w:szCs w:val="21"/>
          <w:lang w:eastAsia="ru-RU"/>
        </w:rPr>
        <w:t>Фортранс</w:t>
      </w:r>
      <w:proofErr w:type="spellEnd"/>
      <w:r w:rsidRPr="00955B95">
        <w:rPr>
          <w:rFonts w:ascii="Helvetica" w:eastAsia="Times New Roman" w:hAnsi="Helvetica" w:cs="Helvetica"/>
          <w:color w:val="666666"/>
          <w:sz w:val="21"/>
          <w:szCs w:val="21"/>
          <w:lang w:eastAsia="ru-RU"/>
        </w:rPr>
        <w:t>.</w:t>
      </w:r>
      <w:r w:rsidRPr="00955B95">
        <w:rPr>
          <w:rFonts w:ascii="Helvetica" w:eastAsia="Times New Roman" w:hAnsi="Helvetica" w:cs="Helvetica"/>
          <w:color w:val="666666"/>
          <w:sz w:val="21"/>
          <w:szCs w:val="21"/>
          <w:lang w:eastAsia="ru-RU"/>
        </w:rPr>
        <w:br/>
        <w:t>Накануне исследования последний прием пищи в 14.00.</w:t>
      </w:r>
      <w:r w:rsidRPr="00955B95">
        <w:rPr>
          <w:rFonts w:ascii="Helvetica" w:eastAsia="Times New Roman" w:hAnsi="Helvetica" w:cs="Helvetica"/>
          <w:color w:val="666666"/>
          <w:sz w:val="21"/>
          <w:szCs w:val="21"/>
          <w:lang w:eastAsia="ru-RU"/>
        </w:rPr>
        <w:br/>
        <w:t xml:space="preserve">Пакет </w:t>
      </w:r>
      <w:proofErr w:type="spellStart"/>
      <w:r w:rsidRPr="00955B95">
        <w:rPr>
          <w:rFonts w:ascii="Helvetica" w:eastAsia="Times New Roman" w:hAnsi="Helvetica" w:cs="Helvetica"/>
          <w:color w:val="666666"/>
          <w:sz w:val="21"/>
          <w:szCs w:val="21"/>
          <w:lang w:eastAsia="ru-RU"/>
        </w:rPr>
        <w:t>фортранса</w:t>
      </w:r>
      <w:proofErr w:type="spellEnd"/>
      <w:r w:rsidRPr="00955B95">
        <w:rPr>
          <w:rFonts w:ascii="Helvetica" w:eastAsia="Times New Roman" w:hAnsi="Helvetica" w:cs="Helvetica"/>
          <w:color w:val="666666"/>
          <w:sz w:val="21"/>
          <w:szCs w:val="21"/>
          <w:lang w:eastAsia="ru-RU"/>
        </w:rPr>
        <w:t xml:space="preserve"> развести в 1 литре воды, из расчета 1 литр готового раствора на 15-20 кг</w:t>
      </w:r>
      <w:proofErr w:type="gramStart"/>
      <w:r w:rsidRPr="00955B95">
        <w:rPr>
          <w:rFonts w:ascii="Helvetica" w:eastAsia="Times New Roman" w:hAnsi="Helvetica" w:cs="Helvetica"/>
          <w:color w:val="666666"/>
          <w:sz w:val="21"/>
          <w:szCs w:val="21"/>
          <w:lang w:eastAsia="ru-RU"/>
        </w:rPr>
        <w:t>.</w:t>
      </w:r>
      <w:proofErr w:type="gramEnd"/>
      <w:r w:rsidRPr="00955B95">
        <w:rPr>
          <w:rFonts w:ascii="Helvetica" w:eastAsia="Times New Roman" w:hAnsi="Helvetica" w:cs="Helvetica"/>
          <w:color w:val="666666"/>
          <w:sz w:val="21"/>
          <w:szCs w:val="21"/>
          <w:lang w:eastAsia="ru-RU"/>
        </w:rPr>
        <w:t xml:space="preserve"> </w:t>
      </w:r>
      <w:proofErr w:type="gramStart"/>
      <w:r w:rsidRPr="00955B95">
        <w:rPr>
          <w:rFonts w:ascii="Helvetica" w:eastAsia="Times New Roman" w:hAnsi="Helvetica" w:cs="Helvetica"/>
          <w:color w:val="666666"/>
          <w:sz w:val="21"/>
          <w:szCs w:val="21"/>
          <w:lang w:eastAsia="ru-RU"/>
        </w:rPr>
        <w:t>в</w:t>
      </w:r>
      <w:proofErr w:type="gramEnd"/>
      <w:r w:rsidRPr="00955B95">
        <w:rPr>
          <w:rFonts w:ascii="Helvetica" w:eastAsia="Times New Roman" w:hAnsi="Helvetica" w:cs="Helvetica"/>
          <w:color w:val="666666"/>
          <w:sz w:val="21"/>
          <w:szCs w:val="21"/>
          <w:lang w:eastAsia="ru-RU"/>
        </w:rPr>
        <w:t xml:space="preserve">еса, т.е. в среднем необходимо развести и выпить 3-4 пакета </w:t>
      </w:r>
      <w:proofErr w:type="spellStart"/>
      <w:r w:rsidRPr="00955B95">
        <w:rPr>
          <w:rFonts w:ascii="Helvetica" w:eastAsia="Times New Roman" w:hAnsi="Helvetica" w:cs="Helvetica"/>
          <w:color w:val="666666"/>
          <w:sz w:val="21"/>
          <w:szCs w:val="21"/>
          <w:lang w:eastAsia="ru-RU"/>
        </w:rPr>
        <w:t>фортранса</w:t>
      </w:r>
      <w:proofErr w:type="spellEnd"/>
      <w:r w:rsidRPr="00955B95">
        <w:rPr>
          <w:rFonts w:ascii="Helvetica" w:eastAsia="Times New Roman" w:hAnsi="Helvetica" w:cs="Helvetica"/>
          <w:color w:val="666666"/>
          <w:sz w:val="21"/>
          <w:szCs w:val="21"/>
          <w:lang w:eastAsia="ru-RU"/>
        </w:rPr>
        <w:t>. Готовый раствор пить дробно, примерно по 100 мл</w:t>
      </w:r>
      <w:proofErr w:type="gramStart"/>
      <w:r w:rsidRPr="00955B95">
        <w:rPr>
          <w:rFonts w:ascii="Helvetica" w:eastAsia="Times New Roman" w:hAnsi="Helvetica" w:cs="Helvetica"/>
          <w:color w:val="666666"/>
          <w:sz w:val="21"/>
          <w:szCs w:val="21"/>
          <w:lang w:eastAsia="ru-RU"/>
        </w:rPr>
        <w:t xml:space="preserve">., </w:t>
      </w:r>
      <w:proofErr w:type="gramEnd"/>
      <w:r w:rsidRPr="00955B95">
        <w:rPr>
          <w:rFonts w:ascii="Helvetica" w:eastAsia="Times New Roman" w:hAnsi="Helvetica" w:cs="Helvetica"/>
          <w:color w:val="666666"/>
          <w:sz w:val="21"/>
          <w:szCs w:val="21"/>
          <w:lang w:eastAsia="ru-RU"/>
        </w:rPr>
        <w:t>каждые 5-7 минут, с 15.00 до 19.00.</w:t>
      </w:r>
      <w:r w:rsidRPr="00955B95">
        <w:rPr>
          <w:rFonts w:ascii="Helvetica" w:eastAsia="Times New Roman" w:hAnsi="Helvetica" w:cs="Helvetica"/>
          <w:color w:val="666666"/>
          <w:sz w:val="21"/>
          <w:szCs w:val="21"/>
          <w:lang w:eastAsia="ru-RU"/>
        </w:rPr>
        <w:br/>
        <w:t>Утром сделать очистительную клизму.</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Вариант 2. </w:t>
      </w:r>
      <w:proofErr w:type="spellStart"/>
      <w:r w:rsidRPr="00955B95">
        <w:rPr>
          <w:rFonts w:ascii="Helvetica" w:eastAsia="Times New Roman" w:hAnsi="Helvetica" w:cs="Helvetica"/>
          <w:color w:val="666666"/>
          <w:sz w:val="21"/>
          <w:szCs w:val="21"/>
          <w:lang w:eastAsia="ru-RU"/>
        </w:rPr>
        <w:t>Дюфалак</w:t>
      </w:r>
      <w:proofErr w:type="spellEnd"/>
      <w:r w:rsidRPr="00955B95">
        <w:rPr>
          <w:rFonts w:ascii="Helvetica" w:eastAsia="Times New Roman" w:hAnsi="Helvetica" w:cs="Helvetica"/>
          <w:color w:val="666666"/>
          <w:sz w:val="21"/>
          <w:szCs w:val="21"/>
          <w:lang w:eastAsia="ru-RU"/>
        </w:rPr>
        <w:t xml:space="preserve"> (</w:t>
      </w:r>
      <w:proofErr w:type="spellStart"/>
      <w:r w:rsidRPr="00955B95">
        <w:rPr>
          <w:rFonts w:ascii="Helvetica" w:eastAsia="Times New Roman" w:hAnsi="Helvetica" w:cs="Helvetica"/>
          <w:color w:val="666666"/>
          <w:sz w:val="21"/>
          <w:szCs w:val="21"/>
          <w:lang w:eastAsia="ru-RU"/>
        </w:rPr>
        <w:t>лактулоза</w:t>
      </w:r>
      <w:proofErr w:type="spellEnd"/>
      <w:r w:rsidRPr="00955B95">
        <w:rPr>
          <w:rFonts w:ascii="Helvetica" w:eastAsia="Times New Roman" w:hAnsi="Helvetica" w:cs="Helvetica"/>
          <w:color w:val="666666"/>
          <w:sz w:val="21"/>
          <w:szCs w:val="21"/>
          <w:lang w:eastAsia="ru-RU"/>
        </w:rPr>
        <w:t>) в сиропе.</w:t>
      </w:r>
      <w:r w:rsidRPr="00955B95">
        <w:rPr>
          <w:rFonts w:ascii="Helvetica" w:eastAsia="Times New Roman" w:hAnsi="Helvetica" w:cs="Helvetica"/>
          <w:color w:val="666666"/>
          <w:sz w:val="21"/>
          <w:szCs w:val="21"/>
          <w:lang w:eastAsia="ru-RU"/>
        </w:rPr>
        <w:br/>
        <w:t>Накануне исследования последний прием пищи в 14.00.</w:t>
      </w:r>
      <w:r w:rsidRPr="00955B95">
        <w:rPr>
          <w:rFonts w:ascii="Helvetica" w:eastAsia="Times New Roman" w:hAnsi="Helvetica" w:cs="Helvetica"/>
          <w:color w:val="666666"/>
          <w:sz w:val="21"/>
          <w:szCs w:val="21"/>
          <w:lang w:eastAsia="ru-RU"/>
        </w:rPr>
        <w:br/>
        <w:t>200 мл</w:t>
      </w:r>
      <w:proofErr w:type="gramStart"/>
      <w:r w:rsidRPr="00955B95">
        <w:rPr>
          <w:rFonts w:ascii="Helvetica" w:eastAsia="Times New Roman" w:hAnsi="Helvetica" w:cs="Helvetica"/>
          <w:color w:val="666666"/>
          <w:sz w:val="21"/>
          <w:szCs w:val="21"/>
          <w:lang w:eastAsia="ru-RU"/>
        </w:rPr>
        <w:t>.</w:t>
      </w:r>
      <w:proofErr w:type="gramEnd"/>
      <w:r w:rsidRPr="00955B95">
        <w:rPr>
          <w:rFonts w:ascii="Helvetica" w:eastAsia="Times New Roman" w:hAnsi="Helvetica" w:cs="Helvetica"/>
          <w:color w:val="666666"/>
          <w:sz w:val="21"/>
          <w:szCs w:val="21"/>
          <w:lang w:eastAsia="ru-RU"/>
        </w:rPr>
        <w:t xml:space="preserve"> </w:t>
      </w:r>
      <w:proofErr w:type="gramStart"/>
      <w:r w:rsidRPr="00955B95">
        <w:rPr>
          <w:rFonts w:ascii="Helvetica" w:eastAsia="Times New Roman" w:hAnsi="Helvetica" w:cs="Helvetica"/>
          <w:color w:val="666666"/>
          <w:sz w:val="21"/>
          <w:szCs w:val="21"/>
          <w:lang w:eastAsia="ru-RU"/>
        </w:rPr>
        <w:t>с</w:t>
      </w:r>
      <w:proofErr w:type="gramEnd"/>
      <w:r w:rsidRPr="00955B95">
        <w:rPr>
          <w:rFonts w:ascii="Helvetica" w:eastAsia="Times New Roman" w:hAnsi="Helvetica" w:cs="Helvetica"/>
          <w:color w:val="666666"/>
          <w:sz w:val="21"/>
          <w:szCs w:val="21"/>
          <w:lang w:eastAsia="ru-RU"/>
        </w:rPr>
        <w:t>иропа развести в 1.5-2.0 литрах воды. Готовый раствор выпить дробно по 100 мл</w:t>
      </w:r>
      <w:proofErr w:type="gramStart"/>
      <w:r w:rsidRPr="00955B95">
        <w:rPr>
          <w:rFonts w:ascii="Helvetica" w:eastAsia="Times New Roman" w:hAnsi="Helvetica" w:cs="Helvetica"/>
          <w:color w:val="666666"/>
          <w:sz w:val="21"/>
          <w:szCs w:val="21"/>
          <w:lang w:eastAsia="ru-RU"/>
        </w:rPr>
        <w:t>.</w:t>
      </w:r>
      <w:proofErr w:type="gramEnd"/>
      <w:r w:rsidRPr="00955B95">
        <w:rPr>
          <w:rFonts w:ascii="Helvetica" w:eastAsia="Times New Roman" w:hAnsi="Helvetica" w:cs="Helvetica"/>
          <w:color w:val="666666"/>
          <w:sz w:val="21"/>
          <w:szCs w:val="21"/>
          <w:lang w:eastAsia="ru-RU"/>
        </w:rPr>
        <w:t xml:space="preserve"> </w:t>
      </w:r>
      <w:proofErr w:type="gramStart"/>
      <w:r w:rsidRPr="00955B95">
        <w:rPr>
          <w:rFonts w:ascii="Helvetica" w:eastAsia="Times New Roman" w:hAnsi="Helvetica" w:cs="Helvetica"/>
          <w:color w:val="666666"/>
          <w:sz w:val="21"/>
          <w:szCs w:val="21"/>
          <w:lang w:eastAsia="ru-RU"/>
        </w:rPr>
        <w:t>в</w:t>
      </w:r>
      <w:proofErr w:type="gramEnd"/>
      <w:r w:rsidRPr="00955B95">
        <w:rPr>
          <w:rFonts w:ascii="Helvetica" w:eastAsia="Times New Roman" w:hAnsi="Helvetica" w:cs="Helvetica"/>
          <w:color w:val="666666"/>
          <w:sz w:val="21"/>
          <w:szCs w:val="21"/>
          <w:lang w:eastAsia="ru-RU"/>
        </w:rPr>
        <w:t xml:space="preserve"> течение примерно 1 часа.</w:t>
      </w:r>
      <w:r w:rsidRPr="00955B95">
        <w:rPr>
          <w:rFonts w:ascii="Helvetica" w:eastAsia="Times New Roman" w:hAnsi="Helvetica" w:cs="Helvetica"/>
          <w:color w:val="666666"/>
          <w:sz w:val="21"/>
          <w:szCs w:val="21"/>
          <w:lang w:eastAsia="ru-RU"/>
        </w:rPr>
        <w:br/>
        <w:t>Утром сделать очистительную клизму.</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Вариант 3. Касторовое масло.</w:t>
      </w:r>
      <w:r w:rsidRPr="00955B95">
        <w:rPr>
          <w:rFonts w:ascii="Helvetica" w:eastAsia="Times New Roman" w:hAnsi="Helvetica" w:cs="Helvetica"/>
          <w:color w:val="666666"/>
          <w:sz w:val="21"/>
          <w:szCs w:val="21"/>
          <w:lang w:eastAsia="ru-RU"/>
        </w:rPr>
        <w:br/>
        <w:t>Накануне исследования последний прием пищи в 14.00.</w:t>
      </w:r>
      <w:r w:rsidRPr="00955B95">
        <w:rPr>
          <w:rFonts w:ascii="Helvetica" w:eastAsia="Times New Roman" w:hAnsi="Helvetica" w:cs="Helvetica"/>
          <w:color w:val="666666"/>
          <w:sz w:val="21"/>
          <w:szCs w:val="21"/>
          <w:lang w:eastAsia="ru-RU"/>
        </w:rPr>
        <w:br/>
        <w:t>После обеда принять 50-80 г. касторового масла.</w:t>
      </w:r>
      <w:r w:rsidRPr="00955B95">
        <w:rPr>
          <w:rFonts w:ascii="Helvetica" w:eastAsia="Times New Roman" w:hAnsi="Helvetica" w:cs="Helvetica"/>
          <w:color w:val="666666"/>
          <w:sz w:val="21"/>
          <w:szCs w:val="21"/>
          <w:lang w:eastAsia="ru-RU"/>
        </w:rPr>
        <w:br/>
        <w:t>Вечером сделать очистительные клизмы.</w:t>
      </w:r>
      <w:r w:rsidRPr="00955B95">
        <w:rPr>
          <w:rFonts w:ascii="Helvetica" w:eastAsia="Times New Roman" w:hAnsi="Helvetica" w:cs="Helvetica"/>
          <w:color w:val="666666"/>
          <w:sz w:val="21"/>
          <w:szCs w:val="21"/>
          <w:lang w:eastAsia="ru-RU"/>
        </w:rPr>
        <w:br/>
        <w:t>Утром в день исследования повторить очистительные клизмы до чистой воды.</w:t>
      </w:r>
      <w:r w:rsidRPr="00955B95">
        <w:rPr>
          <w:rFonts w:ascii="Helvetica" w:eastAsia="Times New Roman" w:hAnsi="Helvetica" w:cs="Helvetica"/>
          <w:color w:val="666666"/>
          <w:sz w:val="21"/>
          <w:szCs w:val="21"/>
          <w:lang w:eastAsia="ru-RU"/>
        </w:rPr>
        <w:br/>
        <w:t>В день исследования не есть и не пить!</w:t>
      </w:r>
      <w:r w:rsidRPr="00955B95">
        <w:rPr>
          <w:rFonts w:ascii="Helvetica" w:eastAsia="Times New Roman" w:hAnsi="Helvetica" w:cs="Helvetica"/>
          <w:color w:val="666666"/>
          <w:sz w:val="21"/>
          <w:szCs w:val="21"/>
          <w:lang w:eastAsia="ru-RU"/>
        </w:rPr>
        <w:br/>
        <w:t>При необходимости не только можно, но и нужно принять назначенные ранее лекарства!</w:t>
      </w:r>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t>Подготовка к лабораторным исследованиям</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Для выполнения исследований, </w:t>
      </w:r>
      <w:proofErr w:type="gramStart"/>
      <w:r w:rsidRPr="00955B95">
        <w:rPr>
          <w:rFonts w:ascii="Helvetica" w:eastAsia="Times New Roman" w:hAnsi="Helvetica" w:cs="Helvetica"/>
          <w:color w:val="666666"/>
          <w:sz w:val="21"/>
          <w:szCs w:val="21"/>
          <w:lang w:eastAsia="ru-RU"/>
        </w:rPr>
        <w:t>мочу</w:t>
      </w:r>
      <w:proofErr w:type="gramEnd"/>
      <w:r w:rsidRPr="00955B95">
        <w:rPr>
          <w:rFonts w:ascii="Helvetica" w:eastAsia="Times New Roman" w:hAnsi="Helvetica" w:cs="Helvetica"/>
          <w:color w:val="666666"/>
          <w:sz w:val="21"/>
          <w:szCs w:val="21"/>
          <w:lang w:eastAsia="ru-RU"/>
        </w:rPr>
        <w:t xml:space="preserve"> и кал необходимо доставить в лабораторию в специальных контейнерах.</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Факторы, влияющие на результаты лабораторных исследований:</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Лекарственные средства.</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Приём пищи.</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Физические и эмоциональные перегрузки.</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Алкоголь.</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Курение.</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proofErr w:type="spellStart"/>
      <w:r w:rsidRPr="00955B95">
        <w:rPr>
          <w:rFonts w:ascii="Helvetica" w:eastAsia="Times New Roman" w:hAnsi="Helvetica" w:cs="Helvetica"/>
          <w:color w:val="666666"/>
          <w:sz w:val="21"/>
          <w:szCs w:val="21"/>
          <w:lang w:eastAsia="ru-RU"/>
        </w:rPr>
        <w:t>Физиопроцедуры</w:t>
      </w:r>
      <w:proofErr w:type="spellEnd"/>
      <w:r w:rsidRPr="00955B95">
        <w:rPr>
          <w:rFonts w:ascii="Helvetica" w:eastAsia="Times New Roman" w:hAnsi="Helvetica" w:cs="Helvetica"/>
          <w:color w:val="666666"/>
          <w:sz w:val="21"/>
          <w:szCs w:val="21"/>
          <w:lang w:eastAsia="ru-RU"/>
        </w:rPr>
        <w:t>, инструментальные обследования, проводимые до сдачи биоматериалов.</w:t>
      </w:r>
    </w:p>
    <w:p w:rsidR="00955B95" w:rsidRPr="00955B95" w:rsidRDefault="00955B95" w:rsidP="00955B95">
      <w:pPr>
        <w:numPr>
          <w:ilvl w:val="0"/>
          <w:numId w:val="1"/>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Фаза менструального цикла у женщин.</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lastRenderedPageBreak/>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Общие правила при подготовке к исследованию:</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Более строгие требования к пищевому режиму предъявляются в следующих случаях:</w:t>
      </w:r>
    </w:p>
    <w:p w:rsidR="00955B95" w:rsidRPr="00955B95" w:rsidRDefault="00955B95" w:rsidP="00955B95">
      <w:pPr>
        <w:numPr>
          <w:ilvl w:val="0"/>
          <w:numId w:val="2"/>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строго натощак, после 12 - 14 часового голодания, следует сдавать кровь для определения параметров липидного профиля (</w:t>
      </w:r>
      <w:proofErr w:type="spellStart"/>
      <w:r w:rsidRPr="00955B95">
        <w:rPr>
          <w:rFonts w:ascii="Helvetica" w:eastAsia="Times New Roman" w:hAnsi="Helvetica" w:cs="Helvetica"/>
          <w:color w:val="666666"/>
          <w:sz w:val="21"/>
          <w:szCs w:val="21"/>
          <w:lang w:eastAsia="ru-RU"/>
        </w:rPr>
        <w:t>холестерол</w:t>
      </w:r>
      <w:proofErr w:type="spellEnd"/>
      <w:r w:rsidRPr="00955B95">
        <w:rPr>
          <w:rFonts w:ascii="Helvetica" w:eastAsia="Times New Roman" w:hAnsi="Helvetica" w:cs="Helvetica"/>
          <w:color w:val="666666"/>
          <w:sz w:val="21"/>
          <w:szCs w:val="21"/>
          <w:lang w:eastAsia="ru-RU"/>
        </w:rPr>
        <w:t>, ЛПВП, ЛПНП, триглицериды);</w:t>
      </w:r>
    </w:p>
    <w:p w:rsidR="00955B95" w:rsidRPr="00955B95" w:rsidRDefault="00955B95" w:rsidP="00955B95">
      <w:pPr>
        <w:numPr>
          <w:ilvl w:val="0"/>
          <w:numId w:val="2"/>
        </w:numPr>
        <w:shd w:val="clear" w:color="auto" w:fill="FFFFFF"/>
        <w:spacing w:after="0" w:line="330" w:lineRule="atLeast"/>
        <w:ind w:left="225"/>
        <w:rPr>
          <w:rFonts w:ascii="Helvetica" w:eastAsia="Times New Roman" w:hAnsi="Helvetica" w:cs="Helvetica"/>
          <w:color w:val="666666"/>
          <w:sz w:val="21"/>
          <w:szCs w:val="21"/>
          <w:lang w:eastAsia="ru-RU"/>
        </w:rPr>
      </w:pPr>
      <w:proofErr w:type="spellStart"/>
      <w:r w:rsidRPr="00955B95">
        <w:rPr>
          <w:rFonts w:ascii="Helvetica" w:eastAsia="Times New Roman" w:hAnsi="Helvetica" w:cs="Helvetica"/>
          <w:color w:val="666666"/>
          <w:sz w:val="21"/>
          <w:szCs w:val="21"/>
          <w:lang w:eastAsia="ru-RU"/>
        </w:rPr>
        <w:t>глюкозотолерантный</w:t>
      </w:r>
      <w:proofErr w:type="spellEnd"/>
      <w:r w:rsidRPr="00955B95">
        <w:rPr>
          <w:rFonts w:ascii="Helvetica" w:eastAsia="Times New Roman" w:hAnsi="Helvetica" w:cs="Helvetica"/>
          <w:color w:val="666666"/>
          <w:sz w:val="21"/>
          <w:szCs w:val="21"/>
          <w:lang w:eastAsia="ru-RU"/>
        </w:rPr>
        <w:t xml:space="preserve"> тест выполняется утром натощак после не менее 12-ти, но не более 16-ти часов голодания.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Алкоголь – исключить приём алкоголя накануне исследования.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Курение - не курить минимально в течение 1 часа до исследования.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Исключить физические и эмоциональные стрессы накануне исследования.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После прихода в лабораторию рекомендуется отдохнуть (лучше - посидеть) 10-20 минут перед взятием проб крови.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t>Общий анализ мочи</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Сбор анализа осуществляется в контейнер для анализа мочи.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Женщинам не рекомендуется сдавать анализ мочи во время менструации.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 xml:space="preserve">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w:t>
      </w:r>
      <w:r w:rsidRPr="00955B95">
        <w:rPr>
          <w:rFonts w:ascii="Helvetica" w:eastAsia="Times New Roman" w:hAnsi="Helvetica" w:cs="Helvetica"/>
          <w:color w:val="666666"/>
          <w:sz w:val="21"/>
          <w:szCs w:val="21"/>
          <w:lang w:eastAsia="ru-RU"/>
        </w:rPr>
        <w:lastRenderedPageBreak/>
        <w:t>2 сек.) выпустить в унитаз, а затем, не прерывая мочеиспускания, подставить контейнер для сбора мочи, в который собрать приблизительно 50 мл мочи.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Сразу после сбора мочи плотно закройте контейнер завинчивающейся крышкой.</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Доставить пробирку с мочой в лабораторию необходимо в течение дня (по графику приёма биоматериала до 11).</w:t>
      </w:r>
    </w:p>
    <w:p w:rsidR="00955B95" w:rsidRPr="00955B95" w:rsidRDefault="00955B95" w:rsidP="00955B95">
      <w:pPr>
        <w:shd w:val="clear" w:color="auto" w:fill="FFFFFF"/>
        <w:spacing w:after="168" w:line="288" w:lineRule="atLeast"/>
        <w:outlineLvl w:val="3"/>
        <w:rPr>
          <w:rFonts w:ascii="Arial" w:eastAsia="Times New Roman" w:hAnsi="Arial" w:cs="Arial"/>
          <w:color w:val="666666"/>
          <w:sz w:val="29"/>
          <w:szCs w:val="29"/>
          <w:lang w:eastAsia="ru-RU"/>
        </w:rPr>
      </w:pPr>
      <w:r w:rsidRPr="00955B95">
        <w:rPr>
          <w:rFonts w:ascii="Arial" w:eastAsia="Times New Roman" w:hAnsi="Arial" w:cs="Arial"/>
          <w:color w:val="666666"/>
          <w:sz w:val="29"/>
          <w:szCs w:val="29"/>
          <w:lang w:eastAsia="ru-RU"/>
        </w:rPr>
        <w:t>Сбор суточной мочи для биохимического анализа</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Собирается моча за сутки.</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t>Анализ кала</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Сбор анализа осуществляется в контейнер для анализа кала (с лопаткой).</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Условия, соблюдение которых обязательно:</w:t>
      </w:r>
    </w:p>
    <w:p w:rsidR="00955B95" w:rsidRPr="00955B95" w:rsidRDefault="00955B95" w:rsidP="00955B95">
      <w:pPr>
        <w:numPr>
          <w:ilvl w:val="0"/>
          <w:numId w:val="3"/>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 допускается замораживание;</w:t>
      </w:r>
    </w:p>
    <w:p w:rsidR="00955B95" w:rsidRPr="00955B95" w:rsidRDefault="00955B95" w:rsidP="00955B95">
      <w:pPr>
        <w:numPr>
          <w:ilvl w:val="0"/>
          <w:numId w:val="3"/>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 допускается длительное хранение (более 5 - 6 часов);</w:t>
      </w:r>
    </w:p>
    <w:p w:rsidR="00955B95" w:rsidRPr="00955B95" w:rsidRDefault="00955B95" w:rsidP="00955B95">
      <w:pPr>
        <w:numPr>
          <w:ilvl w:val="0"/>
          <w:numId w:val="3"/>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 допускается неплотно закрытый контейнер;</w:t>
      </w:r>
    </w:p>
    <w:p w:rsidR="00955B95" w:rsidRDefault="00955B95" w:rsidP="00955B95">
      <w:pPr>
        <w:numPr>
          <w:ilvl w:val="0"/>
          <w:numId w:val="3"/>
        </w:numPr>
        <w:shd w:val="clear" w:color="auto" w:fill="FFFFFF"/>
        <w:spacing w:after="0" w:line="330" w:lineRule="atLeast"/>
        <w:ind w:left="225"/>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 подлежит исследованию биоматериал, собранный накануне.</w:t>
      </w:r>
    </w:p>
    <w:p w:rsidR="00502465" w:rsidRPr="00955B95" w:rsidRDefault="00502465" w:rsidP="00502465">
      <w:pPr>
        <w:shd w:val="clear" w:color="auto" w:fill="FFFFFF"/>
        <w:spacing w:after="0" w:line="330" w:lineRule="atLeast"/>
        <w:ind w:left="225"/>
        <w:rPr>
          <w:rFonts w:ascii="Helvetica" w:eastAsia="Times New Roman" w:hAnsi="Helvetica" w:cs="Helvetica"/>
          <w:color w:val="666666"/>
          <w:sz w:val="21"/>
          <w:szCs w:val="21"/>
          <w:lang w:eastAsia="ru-RU"/>
        </w:rPr>
      </w:pPr>
      <w:bookmarkStart w:id="0" w:name="_GoBack"/>
      <w:bookmarkEnd w:id="0"/>
    </w:p>
    <w:p w:rsidR="00955B95" w:rsidRPr="00955B95" w:rsidRDefault="00955B95" w:rsidP="00955B95">
      <w:pPr>
        <w:shd w:val="clear" w:color="auto" w:fill="FFFFFF"/>
        <w:spacing w:after="168" w:line="288" w:lineRule="atLeast"/>
        <w:outlineLvl w:val="2"/>
        <w:rPr>
          <w:rFonts w:ascii="Arial" w:eastAsia="Times New Roman" w:hAnsi="Arial" w:cs="Arial"/>
          <w:color w:val="666666"/>
          <w:sz w:val="35"/>
          <w:szCs w:val="35"/>
          <w:lang w:eastAsia="ru-RU"/>
        </w:rPr>
      </w:pPr>
      <w:r w:rsidRPr="00955B95">
        <w:rPr>
          <w:rFonts w:ascii="Arial" w:eastAsia="Times New Roman" w:hAnsi="Arial" w:cs="Arial"/>
          <w:color w:val="666666"/>
          <w:sz w:val="35"/>
          <w:szCs w:val="35"/>
          <w:lang w:eastAsia="ru-RU"/>
        </w:rPr>
        <w:lastRenderedPageBreak/>
        <w:t>Анализ мокроты</w:t>
      </w:r>
    </w:p>
    <w:p w:rsidR="00955B95" w:rsidRPr="00955B95" w:rsidRDefault="00955B95" w:rsidP="00955B95">
      <w:pPr>
        <w:spacing w:after="0" w:line="240" w:lineRule="auto"/>
        <w:rPr>
          <w:rFonts w:ascii="Times New Roman" w:eastAsia="Times New Roman" w:hAnsi="Times New Roman" w:cs="Times New Roman"/>
          <w:sz w:val="21"/>
          <w:szCs w:val="21"/>
          <w:lang w:eastAsia="ru-RU"/>
        </w:rPr>
      </w:pPr>
      <w:r w:rsidRPr="00955B95">
        <w:rPr>
          <w:rFonts w:ascii="Helvetica" w:eastAsia="Times New Roman" w:hAnsi="Helvetica" w:cs="Helvetica"/>
          <w:color w:val="666666"/>
          <w:sz w:val="21"/>
          <w:szCs w:val="21"/>
          <w:shd w:val="clear" w:color="auto" w:fill="FFFFFF"/>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Сбор мокроты проводится строго натощак.</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Материал собирают в стерильную банку или в стерильный контейнер (</w:t>
      </w:r>
      <w:proofErr w:type="spellStart"/>
      <w:r w:rsidRPr="00955B95">
        <w:rPr>
          <w:rFonts w:ascii="Helvetica" w:eastAsia="Times New Roman" w:hAnsi="Helvetica" w:cs="Helvetica"/>
          <w:color w:val="666666"/>
          <w:sz w:val="21"/>
          <w:szCs w:val="21"/>
          <w:lang w:eastAsia="ru-RU"/>
        </w:rPr>
        <w:t>бакпечатку</w:t>
      </w:r>
      <w:proofErr w:type="spellEnd"/>
      <w:r w:rsidRPr="00955B95">
        <w:rPr>
          <w:rFonts w:ascii="Helvetica" w:eastAsia="Times New Roman" w:hAnsi="Helvetica" w:cs="Helvetica"/>
          <w:color w:val="666666"/>
          <w:sz w:val="21"/>
          <w:szCs w:val="21"/>
          <w:lang w:eastAsia="ru-RU"/>
        </w:rPr>
        <w:t>) с герметичной крышкой.</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955B95" w:rsidRPr="00955B95" w:rsidRDefault="00955B95" w:rsidP="00955B95">
      <w:pPr>
        <w:shd w:val="clear" w:color="auto" w:fill="FFFFFF"/>
        <w:spacing w:after="150" w:line="330" w:lineRule="atLeast"/>
        <w:rPr>
          <w:rFonts w:ascii="Helvetica" w:eastAsia="Times New Roman" w:hAnsi="Helvetica" w:cs="Helvetica"/>
          <w:color w:val="666666"/>
          <w:sz w:val="21"/>
          <w:szCs w:val="21"/>
          <w:lang w:eastAsia="ru-RU"/>
        </w:rPr>
      </w:pPr>
      <w:r w:rsidRPr="00955B95">
        <w:rPr>
          <w:rFonts w:ascii="Helvetica" w:eastAsia="Times New Roman" w:hAnsi="Helvetica" w:cs="Helvetica"/>
          <w:color w:val="666666"/>
          <w:sz w:val="21"/>
          <w:szCs w:val="21"/>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955B95">
        <w:rPr>
          <w:rFonts w:ascii="Helvetica" w:eastAsia="Times New Roman" w:hAnsi="Helvetica" w:cs="Helvetica"/>
          <w:color w:val="666666"/>
          <w:sz w:val="21"/>
          <w:szCs w:val="21"/>
          <w:lang w:eastAsia="ru-RU"/>
        </w:rPr>
        <w:t xml:space="preserve"> С</w:t>
      </w:r>
      <w:proofErr w:type="gramEnd"/>
      <w:r w:rsidRPr="00955B95">
        <w:rPr>
          <w:rFonts w:ascii="Helvetica" w:eastAsia="Times New Roman" w:hAnsi="Helvetica" w:cs="Helvetica"/>
          <w:color w:val="666666"/>
          <w:sz w:val="21"/>
          <w:szCs w:val="21"/>
          <w:lang w:eastAsia="ru-RU"/>
        </w:rPr>
        <w:t>◦ не более 3 часов.</w:t>
      </w:r>
    </w:p>
    <w:p w:rsidR="001B1B0F" w:rsidRDefault="001B1B0F"/>
    <w:sectPr w:rsidR="001B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686"/>
    <w:multiLevelType w:val="multilevel"/>
    <w:tmpl w:val="DD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CA64C1"/>
    <w:multiLevelType w:val="multilevel"/>
    <w:tmpl w:val="16B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6C5E94"/>
    <w:multiLevelType w:val="multilevel"/>
    <w:tmpl w:val="5186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7F"/>
    <w:rsid w:val="001B1B0F"/>
    <w:rsid w:val="00502465"/>
    <w:rsid w:val="0074647F"/>
    <w:rsid w:val="0095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647">
      <w:bodyDiv w:val="1"/>
      <w:marLeft w:val="0"/>
      <w:marRight w:val="0"/>
      <w:marTop w:val="0"/>
      <w:marBottom w:val="0"/>
      <w:divBdr>
        <w:top w:val="none" w:sz="0" w:space="0" w:color="auto"/>
        <w:left w:val="none" w:sz="0" w:space="0" w:color="auto"/>
        <w:bottom w:val="none" w:sz="0" w:space="0" w:color="auto"/>
        <w:right w:val="none" w:sz="0" w:space="0" w:color="auto"/>
      </w:divBdr>
      <w:divsChild>
        <w:div w:id="55084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8607</Characters>
  <Application>Microsoft Office Word</Application>
  <DocSecurity>0</DocSecurity>
  <Lines>71</Lines>
  <Paragraphs>20</Paragraphs>
  <ScaleCrop>false</ScaleCrop>
  <Company>Krokoz™</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2016-02-15T08:26:00Z</dcterms:created>
  <dcterms:modified xsi:type="dcterms:W3CDTF">2016-02-17T10:01:00Z</dcterms:modified>
</cp:coreProperties>
</file>