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4678D" w:rsidRPr="0044678D" w:rsidRDefault="0044678D" w:rsidP="0044678D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lang w:eastAsia="ru-RU"/>
        </w:rPr>
      </w:pPr>
      <w:r w:rsidRPr="0044678D"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lang w:eastAsia="ru-RU"/>
        </w:rPr>
        <w:fldChar w:fldCharType="begin"/>
      </w:r>
      <w:r w:rsidRPr="0044678D"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lang w:eastAsia="ru-RU"/>
        </w:rPr>
        <w:instrText xml:space="preserve"> HYPERLINK "http://kargat-crb.ru/info/110-2015-03-05-06-18-47.html" </w:instrText>
      </w:r>
      <w:r w:rsidRPr="0044678D"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lang w:eastAsia="ru-RU"/>
        </w:rPr>
        <w:fldChar w:fldCharType="separate"/>
      </w:r>
      <w:r w:rsidRPr="0044678D"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u w:val="single"/>
          <w:lang w:eastAsia="ru-RU"/>
        </w:rPr>
        <w:t>Целевые значения критериев доступности и качества медицинской помощи, оказываемой в рамках Программы</w:t>
      </w:r>
      <w:r w:rsidRPr="0044678D"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lang w:eastAsia="ru-RU"/>
        </w:rPr>
        <w:fldChar w:fldCharType="end"/>
      </w:r>
    </w:p>
    <w:bookmarkEnd w:id="0"/>
    <w:p w:rsid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Целевые значения критериев доступности и качества медицинской помощи, оказываемой в рамках Программы: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1) удовлетворенность населения медицинской помощью, в том числе городского, сельского населения (процентов от числа опрошенных), - 46%;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2) смертность населения, в том числе городского, сельского населения (число умерших на 1000 человек населения), - 12,8;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3) смертность населения от болезней системы кровообращения, в том числе городского, сельского населения (число умерших от болезней системы кровообращения на 100 тыс. человек населения), - 732,5;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gramStart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4) смертность населения от новообразований, в том числе от злокачественных, в том числе городского, сельского населения (число умерших от новообразований, в том числе от злокачественных, на 100 тыс. человек населения), - 205,2;</w:t>
      </w:r>
      <w:proofErr w:type="gramEnd"/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5) смертность населения от туберкулеза, в том числе городского, сельского населения (случаев на 100 тыс. человек населения), - 21,0;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6) смертность населения в трудоспособном возрасте (число умерших в трудоспособном возрасте на 100 тыс. человек населения) - 561,9;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7) 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 - 153,0;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8) материнская смертность (на 100 тыс. </w:t>
      </w:r>
      <w:proofErr w:type="gramStart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родившихся</w:t>
      </w:r>
      <w:proofErr w:type="gramEnd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живыми) - 16,1;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9) младенческая смертность (на 1000 </w:t>
      </w:r>
      <w:proofErr w:type="gramStart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родившихся</w:t>
      </w:r>
      <w:proofErr w:type="gramEnd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живыми, в том числе в городской и сельской местности) - 8,1;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10) смертность детей в возрасте 0 - 4 лет (на 100 тыс. человек населения соответствующего возраста) - 205,0;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11) смертность детей в возрасте 0 - 17 лет (на 100 тыс. человек населения соответствующего возраста) - 97,0;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12) 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- 47,2%;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13) 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условиях, - 41,4;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14) 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условиях, - 101,43;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15) средняя длительность лечения в медицинских организациях, оказывающих медицинскую помощь в стационарных условиях (в среднем по Новосибирской области), - 11,7 дня;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16) 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должности), - 3505;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17) эффективность деятельности медицинских организаций, в том числе расположенных в городской и сельской местности (на основе показателей рационального и целевого использования коечного фонда), - 329;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18) доля расходов на оказание медицинской помощи в условиях дневных стационаров в общих расходах на Программу - 6,2%;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19) доля расходов на оказание медицинской помощи в амбулаторных условиях в неотложной форме в общих расходах на Программу - 2,0%;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20) доля расходов на оказание паллиативной медицинской помощи в общих расходах на Программу - 0,09%;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21) удельный вес числа пациентов со злокачественными новообразованиями, выявленными на ранних стадиях, в общем числе пациентов с впервые выявленными злокачественными новообразованиями - 51,0%;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22) полнота охвата профилактическими медицинскими осмотрами детей, в том числе проживающих в городской и сельской местности, - не менее 70% от общего числа детей соответствующего возраста, подлежащих профилактическим осмотрам;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23) удельный вес числа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- 4,0%;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24) число лиц, проживающих в сельской местности, которым оказана скорая медицинская помощь, на 1000 человек сельского населения - 226,0;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25)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- 24,6%;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26) доля выездов бригад скорой медицинской помощи со временем </w:t>
      </w:r>
      <w:proofErr w:type="spellStart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доезда</w:t>
      </w:r>
      <w:proofErr w:type="spellEnd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до пациента менее 20 минут с момента вызова в общем количестве вызовов - 85,6%;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27) 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диспансеризации, в том числе проживающих в городской и сельской местности, - 100%;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28) удельный вес числа пациентов с инфарктом миокарда, госпитализированных </w:t>
      </w:r>
      <w:proofErr w:type="gramStart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первые</w:t>
      </w:r>
      <w:proofErr w:type="gramEnd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6 часов от начала заболевания, в общем количестве госпитализированных пациентов с инфарктом миокарда - 20%;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29) удельный вес числа пациентов с острым инфарктом миокарда, которым проведена </w:t>
      </w:r>
      <w:proofErr w:type="spellStart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тромболитическая</w:t>
      </w:r>
      <w:proofErr w:type="spellEnd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терапия, в общем количестве пациентов с острым инфарктом миокарда - 18,7%;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30) удельный вес числа пациентов с острым инфарктом миокарда, которым проведено </w:t>
      </w:r>
      <w:proofErr w:type="spellStart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стентирование</w:t>
      </w:r>
      <w:proofErr w:type="spellEnd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коронарных артерий, в общем количестве пациентов с острым инфарктом миокарда - 32,0%;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31) количество проведенных выездной бригадой скорой медицинской помощи </w:t>
      </w:r>
      <w:proofErr w:type="spellStart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тромболизисов</w:t>
      </w:r>
      <w:proofErr w:type="spellEnd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помощи, - 10;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32) удельный вес числа пациентов с острыми цереброваскулярными болезнями, госпитализированных </w:t>
      </w:r>
      <w:proofErr w:type="gramStart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первые</w:t>
      </w:r>
      <w:proofErr w:type="gramEnd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6 часов от начала заболевания, в общем количестве госпитализированных пациентов с острыми цереброваскулярными болезнями - 31%;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33) удельный вес числа пациентов с острым ишемическим инсультом, которым проведена </w:t>
      </w:r>
      <w:proofErr w:type="spellStart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тромболитическая</w:t>
      </w:r>
      <w:proofErr w:type="spellEnd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терапия </w:t>
      </w:r>
      <w:proofErr w:type="gramStart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первые</w:t>
      </w:r>
      <w:proofErr w:type="gramEnd"/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6 часов госпитализации, в общем количестве пациентов с острым ишемическим инсультом - 0,3%;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34) количество обоснованных жалоб, в том числе на отказ в оказании медицинской помощи, предоставляемой в рамках Программы, - 61.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Целевые значения критериев доступности медицинской помощи, оказываемой в рамках Программы федеральными медицинскими организациями: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удельный вес объема специализированной, в том числе высокотехнологичной, медицинской помощи, оказанной жителям, проживающим за пределами Новосибирской области, в общем объеме медицинской помощи, оказанной этой медицинской организацией, - 23,4%;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удельный вес расходов на оказание медицинской помощи за счет средств обязательного медицинского страхования в общем объеме расходов федеральной медицинской организации - 11,06%;</w:t>
      </w:r>
    </w:p>
    <w:p w:rsidR="0044678D" w:rsidRPr="0044678D" w:rsidRDefault="0044678D" w:rsidP="0044678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4678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доля расходов, осуществляемых за счет предоставления платных услуг, в структуре всех расходов на медицинскую помощь, оказываемую в федеральных медицинских организациях, - 13,98%.</w:t>
      </w:r>
    </w:p>
    <w:p w:rsidR="00CA4BA8" w:rsidRDefault="00CA4BA8"/>
    <w:sectPr w:rsidR="00CA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D"/>
    <w:rsid w:val="0044678D"/>
    <w:rsid w:val="00C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">
    <w:name w:val="breadcrumbs"/>
    <w:basedOn w:val="a0"/>
    <w:rsid w:val="0044678D"/>
  </w:style>
  <w:style w:type="character" w:styleId="a3">
    <w:name w:val="Hyperlink"/>
    <w:basedOn w:val="a0"/>
    <w:uiPriority w:val="99"/>
    <w:semiHidden/>
    <w:unhideWhenUsed/>
    <w:rsid w:val="0044678D"/>
    <w:rPr>
      <w:color w:val="0000FF"/>
      <w:u w:val="single"/>
    </w:rPr>
  </w:style>
  <w:style w:type="character" w:customStyle="1" w:styleId="current">
    <w:name w:val="current"/>
    <w:basedOn w:val="a0"/>
    <w:rsid w:val="0044678D"/>
  </w:style>
  <w:style w:type="paragraph" w:styleId="a4">
    <w:name w:val="Normal (Web)"/>
    <w:basedOn w:val="a"/>
    <w:uiPriority w:val="99"/>
    <w:semiHidden/>
    <w:unhideWhenUsed/>
    <w:rsid w:val="0044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">
    <w:name w:val="breadcrumbs"/>
    <w:basedOn w:val="a0"/>
    <w:rsid w:val="0044678D"/>
  </w:style>
  <w:style w:type="character" w:styleId="a3">
    <w:name w:val="Hyperlink"/>
    <w:basedOn w:val="a0"/>
    <w:uiPriority w:val="99"/>
    <w:semiHidden/>
    <w:unhideWhenUsed/>
    <w:rsid w:val="0044678D"/>
    <w:rPr>
      <w:color w:val="0000FF"/>
      <w:u w:val="single"/>
    </w:rPr>
  </w:style>
  <w:style w:type="character" w:customStyle="1" w:styleId="current">
    <w:name w:val="current"/>
    <w:basedOn w:val="a0"/>
    <w:rsid w:val="0044678D"/>
  </w:style>
  <w:style w:type="paragraph" w:styleId="a4">
    <w:name w:val="Normal (Web)"/>
    <w:basedOn w:val="a"/>
    <w:uiPriority w:val="99"/>
    <w:semiHidden/>
    <w:unhideWhenUsed/>
    <w:rsid w:val="0044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5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5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3309">
                              <w:marLeft w:val="0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5333">
                              <w:marLeft w:val="0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2016-11-25T04:53:00Z</dcterms:created>
  <dcterms:modified xsi:type="dcterms:W3CDTF">2016-11-25T04:53:00Z</dcterms:modified>
</cp:coreProperties>
</file>